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proofErr w:type="spellStart"/>
      <w:r w:rsidRPr="00E71B2A">
        <w:rPr>
          <w:b/>
        </w:rPr>
        <w:t>Elexon</w:t>
      </w:r>
      <w:proofErr w:type="spellEnd"/>
      <w:r w:rsidRPr="00E71B2A">
        <w:rPr>
          <w:b/>
        </w:rPr>
        <w:t xml:space="preserve">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2734443E" w:rsidR="00111BE6" w:rsidRPr="00E71B2A" w:rsidRDefault="00DF6D3C" w:rsidP="00E71B2A">
            <w:pPr>
              <w:pStyle w:val="TableBodyText"/>
              <w:cnfStyle w:val="000000000000" w:firstRow="0" w:lastRow="0" w:firstColumn="0" w:lastColumn="0" w:oddVBand="0" w:evenVBand="0" w:oddHBand="0" w:evenHBand="0" w:firstRowFirstColumn="0" w:firstRowLastColumn="0" w:lastRowFirstColumn="0" w:lastRowLastColumn="0"/>
            </w:pPr>
            <w:r>
              <w:t>David Yeoman</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560408D0" w:rsidR="00111BE6" w:rsidRPr="00E71B2A" w:rsidRDefault="00DF6D3C" w:rsidP="00E71B2A">
            <w:pPr>
              <w:pStyle w:val="TableBodyText"/>
              <w:cnfStyle w:val="000000000000" w:firstRow="0" w:lastRow="0" w:firstColumn="0" w:lastColumn="0" w:oddVBand="0" w:evenVBand="0" w:oddHBand="0" w:evenHBand="0" w:firstRowFirstColumn="0" w:firstRowLastColumn="0" w:lastRowFirstColumn="0" w:lastRowLastColumn="0"/>
            </w:pPr>
            <w:r>
              <w:t>UK Power Networks</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7D7FFEDF"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1"/>
                  <w14:checkedState w14:val="2612" w14:font="MS Gothic"/>
                  <w14:uncheckedState w14:val="2610" w14:font="MS Gothic"/>
                </w14:checkbox>
              </w:sdtPr>
              <w:sdtContent>
                <w:r w:rsidR="00DF6D3C">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7BC66FE9"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1"/>
                  <w14:checkedState w14:val="2612" w14:font="MS Gothic"/>
                  <w14:uncheckedState w14:val="2610" w14:font="MS Gothic"/>
                </w14:checkbox>
              </w:sdtPr>
              <w:sdtContent>
                <w:r w:rsidR="00DF6D3C">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68A49F0E"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1"/>
                  <w14:checkedState w14:val="2612" w14:font="MS Gothic"/>
                  <w14:uncheckedState w14:val="2610" w14:font="MS Gothic"/>
                </w14:checkbox>
              </w:sdtPr>
              <w:sdtContent>
                <w:r w:rsidR="00DF6D3C">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390493AB" w:rsidR="00F717A8" w:rsidRPr="00E71B2A" w:rsidRDefault="00DF6D3C" w:rsidP="00F717A8">
            <w:pPr>
              <w:pStyle w:val="TableBodyText"/>
              <w:cnfStyle w:val="000000000000" w:firstRow="0" w:lastRow="0" w:firstColumn="0" w:lastColumn="0" w:oddVBand="0" w:evenVBand="0" w:oddHBand="0" w:evenHBand="0" w:firstRowFirstColumn="0" w:firstRowLastColumn="0" w:lastRowFirstColumn="0" w:lastRowLastColumn="0"/>
            </w:pPr>
            <w:r>
              <w:t>07765 550 255</w:t>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736E0C35" w:rsidR="00F717A8" w:rsidRPr="00E71B2A" w:rsidRDefault="00DF6D3C" w:rsidP="00F717A8">
            <w:pPr>
              <w:pStyle w:val="TableBodyText"/>
              <w:cnfStyle w:val="000000000000" w:firstRow="0" w:lastRow="0" w:firstColumn="0" w:lastColumn="0" w:oddVBand="0" w:evenVBand="0" w:oddHBand="0" w:evenHBand="0" w:firstRowFirstColumn="0" w:firstRowLastColumn="0" w:lastRowFirstColumn="0" w:lastRowLastColumn="0"/>
            </w:pPr>
            <w:r>
              <w:t>david.yeoman@ukpowernetworks.co.uk</w:t>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22A62053" w:rsidR="000B7C44" w:rsidRPr="00E71B2A" w:rsidRDefault="00DF6D3C" w:rsidP="00DF6D3C">
            <w:pPr>
              <w:pStyle w:val="TableBodyText"/>
              <w:ind w:left="0"/>
              <w:cnfStyle w:val="000000000000" w:firstRow="0" w:lastRow="0" w:firstColumn="0" w:lastColumn="0" w:oddVBand="0" w:evenVBand="0" w:oddHBand="0" w:evenHBand="0" w:firstRowFirstColumn="0" w:firstRowLastColumn="0" w:lastRowFirstColumn="0" w:lastRowLastColumn="0"/>
            </w:pPr>
            <w:r>
              <w:t>No</w:t>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25BCBC32" w:rsidR="000B7C44" w:rsidRPr="00E71B2A" w:rsidRDefault="00DF6D3C" w:rsidP="0066095A">
            <w:pPr>
              <w:pStyle w:val="TableResponse"/>
            </w:pPr>
            <w:r>
              <w:t>No</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630D2608" w14:textId="2081D7E9" w:rsidR="00DF6D3C" w:rsidRPr="00DF6D3C" w:rsidRDefault="00DF6D3C" w:rsidP="00DF6D3C">
            <w:pPr>
              <w:pStyle w:val="TableResponse"/>
            </w:pPr>
            <w:r>
              <w:t>T</w:t>
            </w:r>
            <w:r w:rsidRPr="00DF6D3C">
              <w:t xml:space="preserve">his </w:t>
            </w:r>
            <w:r>
              <w:t xml:space="preserve">CR </w:t>
            </w:r>
            <w:r w:rsidRPr="00DF6D3C">
              <w:t xml:space="preserve">appears to be </w:t>
            </w:r>
            <w:proofErr w:type="gramStart"/>
            <w:r>
              <w:t>address</w:t>
            </w:r>
            <w:proofErr w:type="gramEnd"/>
            <w:r>
              <w:t xml:space="preserve"> a </w:t>
            </w:r>
            <w:r w:rsidRPr="00DF6D3C">
              <w:t xml:space="preserve">Major Incident management (at a high level) </w:t>
            </w:r>
            <w:r>
              <w:t xml:space="preserve">process. </w:t>
            </w:r>
            <w:r w:rsidRPr="00DF6D3C">
              <w:t xml:space="preserve">The issue will be identifying what is a qualifying incident and what won’t be. </w:t>
            </w:r>
            <w:r>
              <w:t xml:space="preserve">It </w:t>
            </w:r>
            <w:r w:rsidRPr="00DF6D3C">
              <w:t xml:space="preserve">refers to Settlement impact specifically then our take would be that this is limited to the </w:t>
            </w:r>
            <w:proofErr w:type="spellStart"/>
            <w:r w:rsidRPr="00DF6D3C">
              <w:t>DUoS</w:t>
            </w:r>
            <w:proofErr w:type="spellEnd"/>
            <w:r w:rsidRPr="00DF6D3C">
              <w:t xml:space="preserve"> Billing applications, at specific times of the month, and processes only. MPRS is covered by the REC obligations is our assumption here. </w:t>
            </w:r>
          </w:p>
          <w:p w14:paraId="0A78F101" w14:textId="77777777" w:rsidR="00DF6D3C" w:rsidRPr="00DF6D3C" w:rsidRDefault="00DF6D3C" w:rsidP="00DF6D3C">
            <w:pPr>
              <w:pStyle w:val="TableResponse"/>
            </w:pPr>
          </w:p>
          <w:p w14:paraId="5CC25CA6" w14:textId="314685A5" w:rsidR="00DF6D3C" w:rsidRPr="00DF6D3C" w:rsidRDefault="00DF6D3C" w:rsidP="00DF6D3C">
            <w:pPr>
              <w:pStyle w:val="TableResponse"/>
            </w:pPr>
            <w:r w:rsidRPr="00DF6D3C">
              <w:t xml:space="preserve">It would be </w:t>
            </w:r>
            <w:proofErr w:type="gramStart"/>
            <w:r w:rsidRPr="00DF6D3C">
              <w:t>fairly easy</w:t>
            </w:r>
            <w:proofErr w:type="gramEnd"/>
            <w:r w:rsidRPr="00DF6D3C">
              <w:t xml:space="preserve"> to see that if </w:t>
            </w:r>
            <w:r>
              <w:t xml:space="preserve">our DIP adaptor, </w:t>
            </w:r>
            <w:r w:rsidRPr="00DF6D3C">
              <w:t xml:space="preserve">SWIM-Soak became unavailable during that period then if it was preventing </w:t>
            </w:r>
            <w:r w:rsidRPr="00DF6D3C">
              <w:rPr>
                <w:b/>
                <w:bCs/>
              </w:rPr>
              <w:t>every party</w:t>
            </w:r>
            <w:r w:rsidRPr="00DF6D3C">
              <w:t xml:space="preserve"> from receiving the relevant DIP messages then that would constitute a significant DIP issue, but would that threshold be breached if the </w:t>
            </w:r>
            <w:r>
              <w:t>UKPN</w:t>
            </w:r>
            <w:r w:rsidRPr="00DF6D3C">
              <w:t xml:space="preserve"> </w:t>
            </w:r>
            <w:proofErr w:type="spellStart"/>
            <w:r w:rsidRPr="00DF6D3C">
              <w:t>Durabill</w:t>
            </w:r>
            <w:proofErr w:type="spellEnd"/>
            <w:r w:rsidRPr="00DF6D3C">
              <w:t xml:space="preserve"> </w:t>
            </w:r>
            <w:r>
              <w:t xml:space="preserve">or MPRS </w:t>
            </w:r>
            <w:r w:rsidRPr="00DF6D3C">
              <w:t xml:space="preserve">instance suffered a server failure (as an example). </w:t>
            </w:r>
          </w:p>
          <w:p w14:paraId="2769295E" w14:textId="77777777" w:rsidR="00DF6D3C" w:rsidRPr="00DF6D3C" w:rsidRDefault="00DF6D3C" w:rsidP="00DF6D3C">
            <w:pPr>
              <w:pStyle w:val="TableResponse"/>
            </w:pPr>
          </w:p>
          <w:p w14:paraId="0864C58E" w14:textId="4DF46B08" w:rsidR="00DF6D3C" w:rsidRPr="00DF6D3C" w:rsidRDefault="00DF6D3C" w:rsidP="00DF6D3C">
            <w:pPr>
              <w:pStyle w:val="TableResponse"/>
            </w:pPr>
            <w:r>
              <w:t>This</w:t>
            </w:r>
            <w:r w:rsidRPr="00DF6D3C">
              <w:t xml:space="preserve"> CR </w:t>
            </w:r>
            <w:r>
              <w:t xml:space="preserve">seems </w:t>
            </w:r>
            <w:r w:rsidRPr="00DF6D3C">
              <w:t xml:space="preserve">only </w:t>
            </w:r>
            <w:r>
              <w:t>to reinforce</w:t>
            </w:r>
            <w:r w:rsidRPr="00DF6D3C">
              <w:t xml:space="preserve"> what the agreed Major Incident</w:t>
            </w:r>
            <w:r>
              <w:t xml:space="preserve"> (MI)</w:t>
            </w:r>
            <w:r w:rsidRPr="00DF6D3C">
              <w:t xml:space="preserve"> process</w:t>
            </w:r>
            <w:r>
              <w:t xml:space="preserve"> is and is</w:t>
            </w:r>
            <w:r w:rsidRPr="00DF6D3C">
              <w:t xml:space="preserve"> already mandated,</w:t>
            </w:r>
            <w:r>
              <w:t xml:space="preserve"> via the Issue Resolution Group (IRG),</w:t>
            </w:r>
            <w:r w:rsidRPr="00DF6D3C">
              <w:t xml:space="preserve"> that being</w:t>
            </w:r>
            <w:r>
              <w:t>, e</w:t>
            </w:r>
            <w:r w:rsidRPr="00DF6D3C">
              <w:t xml:space="preserve">very party notify </w:t>
            </w:r>
            <w:proofErr w:type="spellStart"/>
            <w:r w:rsidRPr="00DF6D3C">
              <w:t>Elexon</w:t>
            </w:r>
            <w:proofErr w:type="spellEnd"/>
            <w:r w:rsidRPr="00DF6D3C">
              <w:t xml:space="preserve"> of a major incident, who upon accepting it is an MI will take on the role of Incident Manager. </w:t>
            </w:r>
            <w:r>
              <w:t xml:space="preserve">Is the CR trying to codify the same into </w:t>
            </w:r>
            <w:r w:rsidRPr="00DF6D3C">
              <w:t>the relevant code so that it is a</w:t>
            </w:r>
            <w:r>
              <w:t xml:space="preserve"> formal </w:t>
            </w:r>
            <w:r w:rsidRPr="00DF6D3C">
              <w:t>obligation on parties</w:t>
            </w:r>
            <w:r>
              <w:t xml:space="preserve"> more than the IRG? </w:t>
            </w:r>
          </w:p>
          <w:p w14:paraId="7951F3F5" w14:textId="7D01199E" w:rsidR="000B7C44" w:rsidRPr="0066095A" w:rsidRDefault="000B7C44" w:rsidP="0066095A">
            <w:pPr>
              <w:pStyle w:val="TableResponse"/>
            </w:pP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7F0EFCB1" w:rsidR="000B7C44" w:rsidRPr="00E71B2A" w:rsidRDefault="00DF6D3C" w:rsidP="0066095A">
            <w:pPr>
              <w:pStyle w:val="TableResponse"/>
            </w:pPr>
            <w:r>
              <w:t>N/A</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61E1CBD2" w:rsidR="000B7C44" w:rsidRPr="00E71B2A" w:rsidRDefault="00DF6D3C" w:rsidP="0066095A">
            <w:pPr>
              <w:pStyle w:val="TableResponse"/>
            </w:pPr>
            <w:r>
              <w:t>I can’t see any draft redlining?</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2A6B455B" w:rsidR="000B7C44" w:rsidRPr="00E71B2A" w:rsidRDefault="00DF6D3C" w:rsidP="0066095A">
            <w:pPr>
              <w:pStyle w:val="TableResponse"/>
            </w:pPr>
            <w:r>
              <w:t>Unknown</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28005134" w:rsidR="000B7C44" w:rsidRPr="00E71B2A" w:rsidRDefault="00DF6D3C" w:rsidP="0066095A">
            <w:pPr>
              <w:pStyle w:val="TableResponse"/>
            </w:pPr>
            <w:r>
              <w:t>Not sure what the refence to DCR004 is above?</w:t>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lastRenderedPageBreak/>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2104D622" w:rsidR="000B7C44" w:rsidRPr="00E71B2A" w:rsidRDefault="00DF6D3C" w:rsidP="0066095A">
            <w:pPr>
              <w:pStyle w:val="TableResponse"/>
            </w:pPr>
            <w:r>
              <w:t>Unknown</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7B21BED2" w:rsidR="000B7C44" w:rsidRPr="00E71B2A" w:rsidRDefault="00DF6D3C" w:rsidP="0066095A">
            <w:pPr>
              <w:pStyle w:val="TableResponse"/>
            </w:pPr>
            <w:r>
              <w:t>Unknown because we are unclear what the expectation is from this CR and how far reaching it may extend.</w:t>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4E5320BD" w:rsidR="000B7C44" w:rsidRPr="00E71B2A" w:rsidRDefault="00DF6D3C" w:rsidP="0066095A">
            <w:pPr>
              <w:pStyle w:val="TableResponse"/>
            </w:pPr>
            <w:r>
              <w:t>No</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05CB09FA" w:rsidR="000B7C44" w:rsidRPr="00E71B2A" w:rsidRDefault="00DF6D3C" w:rsidP="0066095A">
            <w:pPr>
              <w:pStyle w:val="TableResponse"/>
            </w:pPr>
            <w:r>
              <w:t xml:space="preserve">Lack of clarity which needs addressing. </w:t>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042CB49E" w:rsidR="00994B42" w:rsidRPr="00E71B2A" w:rsidRDefault="00DF6D3C" w:rsidP="0066095A">
            <w:pPr>
              <w:pStyle w:val="TableResponse"/>
            </w:pPr>
            <w:r>
              <w:t>Not sure why DCR0004 draft redlining is mentioned, is this a typo?</w:t>
            </w: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02A8" w14:textId="77777777" w:rsidR="00011AEB" w:rsidRDefault="00011AEB">
      <w:r>
        <w:separator/>
      </w:r>
    </w:p>
  </w:endnote>
  <w:endnote w:type="continuationSeparator" w:id="0">
    <w:p w14:paraId="716CC5AD" w14:textId="77777777" w:rsidR="00011AEB" w:rsidRDefault="0001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5F90FF62"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F37B2">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5F90FF62"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F37B2">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7E94665F"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F37B2">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7E94665F" w:rsidR="002C04D4" w:rsidRPr="001B1E48" w:rsidRDefault="002C04D4" w:rsidP="001B1E48">
                          <w:pPr>
                            <w:pStyle w:val="Footer"/>
                            <w:rPr>
                              <w:b w:val="0"/>
                            </w:rPr>
                          </w:pPr>
                          <w:r w:rsidRPr="001B1E48">
                            <w:rPr>
                              <w:b w:val="0"/>
                            </w:rPr>
                            <w:t xml:space="preserve">© </w:t>
                          </w:r>
                          <w:proofErr w:type="spellStart"/>
                          <w:r w:rsidRPr="001B1E48">
                            <w:rPr>
                              <w:b w:val="0"/>
                            </w:rPr>
                            <w:t>E</w:t>
                          </w:r>
                          <w:r>
                            <w:rPr>
                              <w:b w:val="0"/>
                            </w:rPr>
                            <w:t>lexon</w:t>
                          </w:r>
                          <w:proofErr w:type="spellEnd"/>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F37B2">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6AC75" w14:textId="77777777" w:rsidR="00011AEB" w:rsidRDefault="00011AEB">
      <w:r>
        <w:separator/>
      </w:r>
    </w:p>
  </w:footnote>
  <w:footnote w:type="continuationSeparator" w:id="0">
    <w:p w14:paraId="4761981F" w14:textId="77777777" w:rsidR="00011AEB" w:rsidRDefault="00011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06419915">
    <w:abstractNumId w:val="2"/>
  </w:num>
  <w:num w:numId="2" w16cid:durableId="1254977789">
    <w:abstractNumId w:val="14"/>
  </w:num>
  <w:num w:numId="3" w16cid:durableId="1796676209">
    <w:abstractNumId w:val="7"/>
  </w:num>
  <w:num w:numId="4" w16cid:durableId="63455501">
    <w:abstractNumId w:val="21"/>
  </w:num>
  <w:num w:numId="5" w16cid:durableId="39674467">
    <w:abstractNumId w:val="26"/>
  </w:num>
  <w:num w:numId="6" w16cid:durableId="1353264257">
    <w:abstractNumId w:val="25"/>
  </w:num>
  <w:num w:numId="7" w16cid:durableId="1660648061">
    <w:abstractNumId w:val="16"/>
  </w:num>
  <w:num w:numId="8" w16cid:durableId="410322065">
    <w:abstractNumId w:val="10"/>
  </w:num>
  <w:num w:numId="9" w16cid:durableId="524487838">
    <w:abstractNumId w:val="20"/>
  </w:num>
  <w:num w:numId="10" w16cid:durableId="1861041445">
    <w:abstractNumId w:val="18"/>
  </w:num>
  <w:num w:numId="11" w16cid:durableId="549800646">
    <w:abstractNumId w:val="5"/>
  </w:num>
  <w:num w:numId="12" w16cid:durableId="1779175646">
    <w:abstractNumId w:val="4"/>
  </w:num>
  <w:num w:numId="13" w16cid:durableId="333148932">
    <w:abstractNumId w:val="3"/>
  </w:num>
  <w:num w:numId="14" w16cid:durableId="1105927423">
    <w:abstractNumId w:val="19"/>
  </w:num>
  <w:num w:numId="15" w16cid:durableId="405231785">
    <w:abstractNumId w:val="13"/>
  </w:num>
  <w:num w:numId="16" w16cid:durableId="753433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73620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3039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8431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4895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3009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3281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7012351">
    <w:abstractNumId w:val="12"/>
  </w:num>
  <w:num w:numId="24" w16cid:durableId="1729037568">
    <w:abstractNumId w:val="15"/>
  </w:num>
  <w:num w:numId="25" w16cid:durableId="427888614">
    <w:abstractNumId w:val="22"/>
  </w:num>
  <w:num w:numId="26" w16cid:durableId="794367931">
    <w:abstractNumId w:val="1"/>
  </w:num>
  <w:num w:numId="27" w16cid:durableId="563831131">
    <w:abstractNumId w:val="0"/>
  </w:num>
  <w:num w:numId="28" w16cid:durableId="1319112356">
    <w:abstractNumId w:val="11"/>
  </w:num>
  <w:num w:numId="29" w16cid:durableId="854151991">
    <w:abstractNumId w:val="24"/>
  </w:num>
  <w:num w:numId="30" w16cid:durableId="1704674519">
    <w:abstractNumId w:val="23"/>
  </w:num>
  <w:num w:numId="31" w16cid:durableId="943343015">
    <w:abstractNumId w:val="6"/>
  </w:num>
  <w:num w:numId="32" w16cid:durableId="1085107107">
    <w:abstractNumId w:val="8"/>
  </w:num>
  <w:num w:numId="33" w16cid:durableId="1127821576">
    <w:abstractNumId w:val="17"/>
  </w:num>
  <w:num w:numId="34" w16cid:durableId="1295671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1AEB"/>
    <w:rsid w:val="0001303D"/>
    <w:rsid w:val="000140BA"/>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4DF2"/>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37B2"/>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24BB"/>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DF6D3C"/>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06019">
      <w:bodyDiv w:val="1"/>
      <w:marLeft w:val="0"/>
      <w:marRight w:val="0"/>
      <w:marTop w:val="0"/>
      <w:marBottom w:val="0"/>
      <w:divBdr>
        <w:top w:val="none" w:sz="0" w:space="0" w:color="auto"/>
        <w:left w:val="none" w:sz="0" w:space="0" w:color="auto"/>
        <w:bottom w:val="none" w:sz="0" w:space="0" w:color="auto"/>
        <w:right w:val="none" w:sz="0" w:space="0" w:color="auto"/>
      </w:divBdr>
    </w:div>
    <w:div w:id="162549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2.xml><?xml version="1.0" encoding="utf-8"?>
<ds:datastoreItem xmlns:ds="http://schemas.openxmlformats.org/officeDocument/2006/customXml" ds:itemID="{7DB1C28F-3880-4A8C-ABDF-D3AEA6E07734}"/>
</file>

<file path=customXml/itemProps3.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4.xml><?xml version="1.0" encoding="utf-8"?>
<ds:datastoreItem xmlns:ds="http://schemas.openxmlformats.org/officeDocument/2006/customXml" ds:itemID="{810B63DA-DA91-4D89-A114-B974F563A35A}">
  <ds:schemaRefs>
    <ds:schemaRef ds:uri="http://schemas.microsoft.com/office/2006/metadata/properties"/>
    <ds:schemaRef ds:uri="http://schemas.microsoft.com/office/infopath/2007/PartnerControls"/>
    <ds:schemaRef ds:uri="bb018519-a43a-48d8-b76c-6b8dd743e5b7"/>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740</Words>
  <Characters>4089</Characters>
  <Application>Microsoft Office Word</Application>
  <DocSecurity>0</DocSecurity>
  <Lines>227</Lines>
  <Paragraphs>127</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David Yeoman</cp:lastModifiedBy>
  <cp:revision>2</cp:revision>
  <cp:lastPrinted>2009-03-25T11:13:00Z</cp:lastPrinted>
  <dcterms:created xsi:type="dcterms:W3CDTF">2025-10-16T17:14:00Z</dcterms:created>
  <dcterms:modified xsi:type="dcterms:W3CDTF">2025-10-16T17:14:00Z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19" name="MSIP_Label_24fe2fa2-8093-4776-8a20-2d25f8c7acf2_Enabled">
    <vt:lpwstr>true</vt:lpwstr>
  </property>
  <property fmtid="{D5CDD505-2E9C-101B-9397-08002B2CF9AE}" pid="20" name="MSIP_Label_24fe2fa2-8093-4776-8a20-2d25f8c7acf2_SetDate">
    <vt:lpwstr>2025-10-16T17:14:36Z</vt:lpwstr>
  </property>
  <property fmtid="{D5CDD505-2E9C-101B-9397-08002B2CF9AE}" pid="21" name="MSIP_Label_24fe2fa2-8093-4776-8a20-2d25f8c7acf2_Method">
    <vt:lpwstr>Standard</vt:lpwstr>
  </property>
  <property fmtid="{D5CDD505-2E9C-101B-9397-08002B2CF9AE}" pid="22" name="MSIP_Label_24fe2fa2-8093-4776-8a20-2d25f8c7acf2_Name">
    <vt:lpwstr>Internal</vt:lpwstr>
  </property>
  <property fmtid="{D5CDD505-2E9C-101B-9397-08002B2CF9AE}" pid="23" name="MSIP_Label_24fe2fa2-8093-4776-8a20-2d25f8c7acf2_SiteId">
    <vt:lpwstr>887a239c-e092-45fe-92c8-d902c3681567</vt:lpwstr>
  </property>
  <property fmtid="{D5CDD505-2E9C-101B-9397-08002B2CF9AE}" pid="24" name="MSIP_Label_24fe2fa2-8093-4776-8a20-2d25f8c7acf2_ActionId">
    <vt:lpwstr>b318227e-4f96-48bd-89a1-6c7c12ccc0ab</vt:lpwstr>
  </property>
  <property fmtid="{D5CDD505-2E9C-101B-9397-08002B2CF9AE}" pid="25" name="MSIP_Label_24fe2fa2-8093-4776-8a20-2d25f8c7acf2_ContentBits">
    <vt:lpwstr>0</vt:lpwstr>
  </property>
  <property fmtid="{D5CDD505-2E9C-101B-9397-08002B2CF9AE}" pid="26" name="MSIP_Label_24fe2fa2-8093-4776-8a20-2d25f8c7acf2_Tag">
    <vt:lpwstr>10, 3, 0, 1</vt:lpwstr>
  </property>
</Properties>
</file>